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AD" w:rsidRDefault="00C174AD" w:rsidP="00C174AD">
      <w:bookmarkStart w:id="0" w:name="_GoBack"/>
      <w:bookmarkEnd w:id="0"/>
    </w:p>
    <w:p w:rsidR="00C174AD" w:rsidRDefault="00C174AD" w:rsidP="00C174AD"/>
    <w:p w:rsidR="00C174AD" w:rsidRDefault="00C174AD" w:rsidP="00C174AD"/>
    <w:p w:rsidR="00C174AD" w:rsidRDefault="00C174AD" w:rsidP="00C174AD">
      <w:pPr>
        <w:pStyle w:val="a4"/>
        <w:jc w:val="center"/>
      </w:pPr>
      <w:r>
        <w:rPr>
          <w:rStyle w:val="a6"/>
        </w:rPr>
        <w:t xml:space="preserve">МЕТОДИЧЕСКИЕ РЕКОМЕНДАЦИИ </w:t>
      </w:r>
      <w:r>
        <w:br/>
      </w:r>
      <w:r>
        <w:rPr>
          <w:rStyle w:val="a6"/>
        </w:rPr>
        <w:t>по использованию ресурсов экспозиции исторического парка «Россия - Моя история» на уроках истории и во внеурочной деятельности в образовательных организациях</w:t>
      </w:r>
    </w:p>
    <w:p w:rsidR="00C174AD" w:rsidRDefault="00C174AD" w:rsidP="00C174AD">
      <w:pPr>
        <w:pStyle w:val="a4"/>
        <w:jc w:val="both"/>
      </w:pPr>
      <w:r w:rsidRPr="005F3E67">
        <w:t>Законодательство в сфере образования закрепляет право образовательных организаций на определение содержания образования, выбор учебно-методического обеспечения, образовательных технологий, форм, методов и приёмов работы по реализуемым ими образовательным программам (статья 28 Федерального закона от 29 декабря 2012 г. № 273-Ф3 «Об образовании в Российской Федерации» (далее – Федеральный закон № 273-ФЗ)).</w:t>
      </w:r>
    </w:p>
    <w:p w:rsidR="00C174AD" w:rsidRDefault="00C174AD" w:rsidP="00C174AD">
      <w:pPr>
        <w:pStyle w:val="a4"/>
        <w:jc w:val="both"/>
      </w:pPr>
      <w:r>
        <w:t xml:space="preserve">Эти положения в полной мере относятся к использованию сетевой формы реализации образовательных программ с </w:t>
      </w:r>
      <w:proofErr w:type="gramStart"/>
      <w:r>
        <w:t>участием</w:t>
      </w:r>
      <w:proofErr w:type="gramEnd"/>
      <w:r>
        <w:t xml:space="preserve"> в том числе научных организаций и организаций культуры, обладающих ресурсами, необходимыми для осуществления различных видов учебной деятельности, предусмотренных соответствующей образовательной программой (статья 15 Федерального закона № 273-ФЗ).</w:t>
      </w:r>
    </w:p>
    <w:p w:rsidR="00C174AD" w:rsidRDefault="00C174AD" w:rsidP="00C174AD">
      <w:pPr>
        <w:pStyle w:val="a4"/>
        <w:jc w:val="both"/>
      </w:pPr>
      <w:r>
        <w:t>В декабре 2015 года в Москве на ВДНХ (павильон № 57) состоялось открытие мультимедийной экспозиции-выставки «Исторический парк «Россия – Моя история» (далее – Исторический парк) (</w:t>
      </w:r>
      <w:hyperlink r:id="rId6" w:history="1">
        <w:r>
          <w:rPr>
            <w:rStyle w:val="a3"/>
          </w:rPr>
          <w:t>http://myhistorypark.ru</w:t>
        </w:r>
      </w:hyperlink>
      <w:r>
        <w:t>).</w:t>
      </w:r>
    </w:p>
    <w:p w:rsidR="00C174AD" w:rsidRDefault="00C174AD" w:rsidP="00C174AD">
      <w:pPr>
        <w:pStyle w:val="a4"/>
        <w:jc w:val="both"/>
      </w:pPr>
      <w:r>
        <w:t>Цели проекта: распространение гуманитарных знаний в России; развитие в обществе высокой социальной активности, гражданской ответственности, духовности; становление граждан, обладающих позитивными ценностями и качествами, идентифицирующих себя с Россией, её историей и культурой.</w:t>
      </w:r>
    </w:p>
    <w:p w:rsidR="00C174AD" w:rsidRDefault="00C174AD" w:rsidP="00C174AD">
      <w:pPr>
        <w:pStyle w:val="a4"/>
        <w:jc w:val="both"/>
      </w:pPr>
      <w:r>
        <w:t>Открытию Исторического парка предшествовали выставки мультимедийных исторических экспозиций в московском Манеже в ноябре 2013 и 2014 гг.</w:t>
      </w:r>
    </w:p>
    <w:p w:rsidR="00C174AD" w:rsidRDefault="00C174AD" w:rsidP="00C174AD">
      <w:pPr>
        <w:pStyle w:val="a4"/>
        <w:jc w:val="both"/>
      </w:pPr>
      <w:r>
        <w:t xml:space="preserve">Первая экспозиция – «Романовы» – была приурочена к 400-летнему юбилею дома Романовых и представлена в Москве, Санкт-Петербурге, Тюмени, Краснодаре, а также в Крыму, где вошла в состав постоянной экспозиции </w:t>
      </w:r>
      <w:proofErr w:type="spellStart"/>
      <w:r>
        <w:t>Ливадийского</w:t>
      </w:r>
      <w:proofErr w:type="spellEnd"/>
      <w:r>
        <w:t xml:space="preserve"> дворца.</w:t>
      </w:r>
    </w:p>
    <w:p w:rsidR="00C174AD" w:rsidRDefault="00C174AD" w:rsidP="00C174AD">
      <w:pPr>
        <w:pStyle w:val="a4"/>
        <w:jc w:val="both"/>
      </w:pPr>
      <w:r>
        <w:t>Вторая экспозиция – «Рюриковичи» – состоялась в рамках праздничных мероприятий в Москве и Санкт-Петербурге в честь 700-летия со дня рождения преподобного Сергия Радонежского. В сентябре 2016 года мультимедийная выставка «Моя история. Рюриковичи» открылась в Севастополе.</w:t>
      </w:r>
    </w:p>
    <w:p w:rsidR="00C174AD" w:rsidRDefault="00C174AD" w:rsidP="00C174AD">
      <w:pPr>
        <w:pStyle w:val="a4"/>
        <w:jc w:val="both"/>
      </w:pPr>
      <w:r>
        <w:t>Третья экспозиция – «От великих потрясений к Великой Победе» (1914–1945 гг.) – открыта в мае 2016 года к 71-й годовщине Победы над фашизмом.</w:t>
      </w:r>
    </w:p>
    <w:p w:rsidR="00C174AD" w:rsidRDefault="00C174AD" w:rsidP="00C174AD">
      <w:pPr>
        <w:pStyle w:val="a4"/>
        <w:jc w:val="both"/>
      </w:pPr>
      <w:r>
        <w:t>В 2017 году планируется открытие четвёртой экспозиции Исторического парка, охватывающей период российской истории с 1945 по 2016 гг.</w:t>
      </w:r>
    </w:p>
    <w:p w:rsidR="00C174AD" w:rsidRDefault="00C174AD" w:rsidP="00C174AD">
      <w:pPr>
        <w:pStyle w:val="a4"/>
        <w:jc w:val="both"/>
      </w:pPr>
      <w:r>
        <w:rPr>
          <w:rStyle w:val="a5"/>
        </w:rPr>
        <w:t xml:space="preserve">Справка. </w:t>
      </w:r>
    </w:p>
    <w:p w:rsidR="00C174AD" w:rsidRDefault="00C174AD" w:rsidP="00C174AD">
      <w:pPr>
        <w:pStyle w:val="a4"/>
        <w:jc w:val="both"/>
      </w:pPr>
      <w:r>
        <w:rPr>
          <w:rStyle w:val="a5"/>
        </w:rPr>
        <w:t>Материалы экспозиций цикла «Россия – Моя история» занимают более 22 тыс. кв. м. и расположены на двух ярусах павильона. Разработчики проекта – ведущие историки, художники, кинематографисты, дизайнеры, специалисты по компьютерной графике. Это единственный в мире мультимедийный комплекс, представляющий всю историю России с древнейших времен до наших дней, «живой» учебник, позволяющий в увлекательной, доступной интерактивной форме рассказать об отечественной истории.</w:t>
      </w:r>
    </w:p>
    <w:p w:rsidR="00C174AD" w:rsidRDefault="00C174AD" w:rsidP="00C174AD">
      <w:pPr>
        <w:pStyle w:val="a4"/>
        <w:jc w:val="both"/>
      </w:pPr>
      <w:r>
        <w:rPr>
          <w:rStyle w:val="a5"/>
        </w:rPr>
        <w:lastRenderedPageBreak/>
        <w:t xml:space="preserve">В Историческом парке представлены различные формы информационных носителей: сенсорные столы и экраны, вместительные кинотеатры, </w:t>
      </w:r>
      <w:proofErr w:type="spellStart"/>
      <w:r>
        <w:rPr>
          <w:rStyle w:val="a5"/>
        </w:rPr>
        <w:t>лайтбоксы</w:t>
      </w:r>
      <w:proofErr w:type="spellEnd"/>
      <w:r>
        <w:rPr>
          <w:rStyle w:val="a5"/>
        </w:rPr>
        <w:t xml:space="preserve">, коллажи, проекторы, планшетные компьютеры и многое другое. В подготовке экспозиции использованы приёмы </w:t>
      </w:r>
      <w:proofErr w:type="spellStart"/>
      <w:r>
        <w:rPr>
          <w:rStyle w:val="a5"/>
        </w:rPr>
        <w:t>видеоинфографики</w:t>
      </w:r>
      <w:proofErr w:type="spellEnd"/>
      <w:r>
        <w:rPr>
          <w:rStyle w:val="a5"/>
        </w:rPr>
        <w:t>, анимации, трёхмерного моделирования и цифровых реконструкций. Всё это делает выставку привлекательной для посетителей всех возрастов.</w:t>
      </w:r>
    </w:p>
    <w:p w:rsidR="00C174AD" w:rsidRDefault="00C174AD" w:rsidP="00C174AD">
      <w:pPr>
        <w:pStyle w:val="a4"/>
        <w:jc w:val="both"/>
      </w:pPr>
      <w:r>
        <w:rPr>
          <w:rStyle w:val="a5"/>
        </w:rPr>
        <w:t>История Отечества представлена панорамно. Экспозиции включают в себя 900 единиц мультимедийного техники, 11 кинозалов, 20 интерактивных 3D-носителей с реконструкцией исторических событий, мультимедийные карты, 20-метровый купол в виде шатра-кинотеатра, интерактивные панорамы и декорации, 270 метров «живой ленты» истории.</w:t>
      </w:r>
    </w:p>
    <w:p w:rsidR="00C174AD" w:rsidRDefault="00C174AD" w:rsidP="00C174AD">
      <w:pPr>
        <w:pStyle w:val="a4"/>
        <w:jc w:val="both"/>
      </w:pPr>
      <w:proofErr w:type="gramStart"/>
      <w:r>
        <w:rPr>
          <w:rStyle w:val="a5"/>
        </w:rPr>
        <w:t>В сенсорных киосках выставки предусмотрен раздел архивных документов, которые можно не только посмотреть, но и переслать на электронную почту для личного пользования).</w:t>
      </w:r>
      <w:proofErr w:type="gramEnd"/>
    </w:p>
    <w:p w:rsidR="00C174AD" w:rsidRDefault="00C174AD" w:rsidP="00C174AD">
      <w:pPr>
        <w:pStyle w:val="a4"/>
        <w:jc w:val="both"/>
      </w:pPr>
      <w:r>
        <w:t xml:space="preserve">Экспозиции Исторического парка были подготовлены Патриаршим советом по культуре при поддержке Правительства Москвы. </w:t>
      </w:r>
      <w:proofErr w:type="gramStart"/>
      <w:r>
        <w:t>Контент выставок постоянно обновляется, вводятся новые тематические экскурсионные программы, ориентированные на конкретные целевые аудитории, в том числе на детей школьного возраста, студенчество, педагогических работников и граждан, занятых в иных сферах деятельности, желающих расширить свои представления о важнейших событиях российской истории и ближе познакомиться с личностями, сыгравшими историческую роль в становлении и развитии российской государственности.</w:t>
      </w:r>
      <w:proofErr w:type="gramEnd"/>
    </w:p>
    <w:p w:rsidR="00C174AD" w:rsidRDefault="00C174AD" w:rsidP="00C174AD">
      <w:pPr>
        <w:pStyle w:val="a4"/>
        <w:jc w:val="both"/>
      </w:pPr>
      <w:r>
        <w:t xml:space="preserve">В 2016–2017 гг. Исторический парк планирует организовать масштабную работу по посещению экспозиций </w:t>
      </w:r>
      <w:proofErr w:type="gramStart"/>
      <w:r>
        <w:t>обучающимися</w:t>
      </w:r>
      <w:proofErr w:type="gramEnd"/>
      <w:r>
        <w:t xml:space="preserve"> образовательных организаций Москвы и Подмосковья, а в каникулярное время – для школьников, студентов, учителей и преподавателей истории из всех регионов страны.</w:t>
      </w:r>
    </w:p>
    <w:p w:rsidR="00C174AD" w:rsidRDefault="00C174AD" w:rsidP="00C174AD">
      <w:pPr>
        <w:pStyle w:val="a4"/>
        <w:jc w:val="both"/>
      </w:pPr>
      <w:r>
        <w:t>Федеральные государственные образовательные стандарты общего образования (ФГОС), поэтапно вводимые в школах Российской Федерации с 2011 года, предоставляют широкие возможности использования ресурсов Исторического парка в образовательной деятельности:</w:t>
      </w:r>
    </w:p>
    <w:p w:rsidR="00C174AD" w:rsidRDefault="00C174AD" w:rsidP="00C174A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 рамках изучения учебных предметов (прежде всего истории, литературы, обществознания, права, окружающего мира, основ религиозной культуры и светской этики, предметной области «Основы духовно-нравственной культуры народов России»);</w:t>
      </w:r>
    </w:p>
    <w:p w:rsidR="00C174AD" w:rsidRDefault="00C174AD" w:rsidP="00C174A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через факультативные и элективные учебные предметы, предлагаемые конкретной школой, в том числе исторической, военно-патриотической, краеведческой, социальной, культурологической тематики;</w:t>
      </w:r>
    </w:p>
    <w:p w:rsidR="00C174AD" w:rsidRDefault="00C174AD" w:rsidP="00C174A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во внеурочной деятельности учащихся (дискуссионные площадки с просмотром и обсуждением экспозиций, заседания клубов любителей истории, разнообразная проектно-исследовательская (в том числе музейно-краеведческая) и научная деятельность);</w:t>
      </w:r>
    </w:p>
    <w:p w:rsidR="00C174AD" w:rsidRDefault="00C174AD" w:rsidP="00C174A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 рамках реализации программы воспитания и социализации учащихся через такие направления, как духовно-нравственное развитие и патриотическое воспитание обучающихся, их социализация и профессиональная ориентация.</w:t>
      </w:r>
    </w:p>
    <w:p w:rsidR="00C174AD" w:rsidRDefault="00C174AD" w:rsidP="00C174AD">
      <w:pPr>
        <w:pStyle w:val="a4"/>
        <w:jc w:val="both"/>
      </w:pPr>
      <w:r>
        <w:t xml:space="preserve">При планировании мероприятий педагогам целесообразно </w:t>
      </w:r>
      <w:proofErr w:type="gramStart"/>
      <w:r>
        <w:t>ориентироваться</w:t>
      </w:r>
      <w:proofErr w:type="gramEnd"/>
      <w:r>
        <w:t xml:space="preserve"> в том числе на </w:t>
      </w:r>
      <w:r>
        <w:rPr>
          <w:rStyle w:val="a6"/>
        </w:rPr>
        <w:t>календарь памятных дат российской истории</w:t>
      </w:r>
      <w:r>
        <w:t>.</w:t>
      </w:r>
    </w:p>
    <w:p w:rsidR="00C174AD" w:rsidRDefault="00C174AD" w:rsidP="00C174AD">
      <w:pPr>
        <w:pStyle w:val="a4"/>
        <w:jc w:val="both"/>
      </w:pPr>
      <w:r>
        <w:t>Формы организации внеурочной деятельности с использованием ресурсов Исторического парка определяются образовательной организацией самостоятельно, с учётом её возможностей и специфики основной образовательной программы.</w:t>
      </w:r>
    </w:p>
    <w:p w:rsidR="00C174AD" w:rsidRDefault="00C174AD" w:rsidP="00C174AD">
      <w:pPr>
        <w:pStyle w:val="a4"/>
        <w:jc w:val="both"/>
      </w:pPr>
      <w:r>
        <w:t>В примерных основных образовательных программах общего образования, включённых в реестр примерных основных образовательных программ (</w:t>
      </w:r>
      <w:hyperlink r:id="rId7" w:history="1">
        <w:r>
          <w:rPr>
            <w:rStyle w:val="a3"/>
          </w:rPr>
          <w:t>http://fgosreestr.ru/</w:t>
        </w:r>
      </w:hyperlink>
      <w:r>
        <w:t xml:space="preserve">), представлены </w:t>
      </w:r>
      <w:r>
        <w:lastRenderedPageBreak/>
        <w:t>некоторые из возможностей использования экспозиций Исторического парка в образовательной деятельности.</w:t>
      </w:r>
    </w:p>
    <w:p w:rsidR="00C174AD" w:rsidRDefault="00C174AD" w:rsidP="00C174AD">
      <w:pPr>
        <w:pStyle w:val="a4"/>
        <w:jc w:val="both"/>
      </w:pPr>
      <w:r>
        <w:t>На уровне начального общего образования – как форма реализации:</w:t>
      </w:r>
    </w:p>
    <w:p w:rsidR="00C174AD" w:rsidRDefault="00C174AD" w:rsidP="00C174A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гражданско-патриотического воспитания (знакомство с героическими страницами истории России; жизнью замечательных людей, явивших примеры гражданского служения, исполнения патриотического долга; с обязанностями гражданина; знакомство с историей и культурой родного края, народным творчеством, этнокультурными традициями, фольклором, особенностями быта народов России; содержанием и значением государственных праздников);</w:t>
      </w:r>
    </w:p>
    <w:p w:rsidR="00C174AD" w:rsidRDefault="00C174AD" w:rsidP="00C174A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нравственного, духовного, </w:t>
      </w:r>
      <w:proofErr w:type="spellStart"/>
      <w:r>
        <w:t>культуротворческого</w:t>
      </w:r>
      <w:proofErr w:type="spellEnd"/>
      <w:r>
        <w:t xml:space="preserve"> и эстетического воспитания (получение элементарных представлений об эстетических идеалах и художественных ценностях культур народов России освоение навыков видеть прекрасное в окружающем мире, природе родного края; развитие умения понимать красоту окружающего мира через художественные образы).</w:t>
      </w:r>
    </w:p>
    <w:p w:rsidR="00C174AD" w:rsidRDefault="00C174AD" w:rsidP="00C174AD">
      <w:pPr>
        <w:pStyle w:val="a4"/>
        <w:jc w:val="both"/>
      </w:pPr>
      <w:r>
        <w:t>На уровнях основного общего и среднего общего образования, прежде всего, при изучении учебных предметов:</w:t>
      </w:r>
    </w:p>
    <w:p w:rsidR="00C174AD" w:rsidRDefault="00C174AD" w:rsidP="00C174AD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«История» (изучение истории культуры, в том числе достижений российской культуры Средневековья, Нового времени и XX века);</w:t>
      </w:r>
    </w:p>
    <w:p w:rsidR="00C174AD" w:rsidRDefault="00C174AD" w:rsidP="00C174AD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«Изобразительное искусство», «Мировая художественная культура», ориентированных в том числе: на развитие компетенций в области освоения культурного наследия, умения ориентироваться в различных сферах мировой художественной культуры; на формирование у учащихся целостных представлений об исторических традициях и ценностях русской художественной культуры через практическую художественно-творческую деятельность, аналитическое восприятие произведений искусства.</w:t>
      </w:r>
    </w:p>
    <w:p w:rsidR="00C174AD" w:rsidRDefault="00C174AD" w:rsidP="00C174AD">
      <w:pPr>
        <w:pStyle w:val="a4"/>
        <w:jc w:val="both"/>
      </w:pPr>
      <w:r>
        <w:t>Интерактивные экспозиции Исторического парка могут способствовать организации образовательной деятельности в логике ФГОС, в том числе реализации системно-деятельностного подхода, формированию ключевых компетенций обучающихся при организации индивидуальной и групповой проектно-исследовательской деятельности.</w:t>
      </w:r>
    </w:p>
    <w:p w:rsidR="00C174AD" w:rsidRDefault="00C174AD" w:rsidP="00C174AD">
      <w:pPr>
        <w:pStyle w:val="a4"/>
        <w:jc w:val="center"/>
      </w:pPr>
      <w:r>
        <w:rPr>
          <w:rStyle w:val="a6"/>
        </w:rPr>
        <w:t>КАЛЕНДАРЬ ПАМЯТНЫХ ДАТ РОССИЙСКОЙ ИСТОРИИ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1 января</w:t>
      </w:r>
      <w:r>
        <w:t> – День памяти Ильи Муромца. Илья Муромец вместе с Добрыней Никитичем и Алёшей Поповичем – стражи Руси, символы могущества нашего Отечества. Считается, что прототипом былинного богатыря был преподобный Илия Печерский, живший во времена Владимира Мономаха.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22 января</w:t>
      </w:r>
      <w:r>
        <w:t xml:space="preserve"> – Снятие осады Троице-Сергиевой лавры. Осада Троице-Сергиева монастыря войсками Лжедмитрия II, продолжавшаяся почти 16 месяцев – с 3 октября 1608 по 22 января 1610 года, была снята войсками Михаила Васильевича Скопина-Шуйского и Якоба </w:t>
      </w:r>
      <w:proofErr w:type="spellStart"/>
      <w:r>
        <w:t>Делагарди</w:t>
      </w:r>
      <w:proofErr w:type="spellEnd"/>
      <w:r>
        <w:t>. Благополучное окончание осады оказало значительное влияние на настроения населения, подняло боевой дух войска, которое впервые за время Смуты дало столь решительный отпор иноземным захватчикам.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27 января</w:t>
      </w:r>
      <w:r>
        <w:t> – День снятия блокады города Ленинграда (1944). День воинской славы России.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2 февраля</w:t>
      </w:r>
      <w:r>
        <w:t> – День разгрома советскими войсками немецко-фашистских вой</w:t>
      </w:r>
      <w:proofErr w:type="gramStart"/>
      <w:r>
        <w:t>ск в Ст</w:t>
      </w:r>
      <w:proofErr w:type="gramEnd"/>
      <w:r>
        <w:t>алинградской битве (1943). День воинской славы России.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23 февраля</w:t>
      </w:r>
      <w:r>
        <w:t> – День защитника Отечества.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lastRenderedPageBreak/>
        <w:t>6 марта</w:t>
      </w:r>
      <w:r>
        <w:t> – Д.И. Менделеев обнародовал Периодический закон и его следствие – таблицу элементов (1869).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16 марта</w:t>
      </w:r>
      <w:r>
        <w:t> – Ставка Верховного главнокомандующего приказала начать операцию по освобождению Крыма (1944).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12 апреля</w:t>
      </w:r>
      <w:r>
        <w:t> – День космонавтики. 12 апреля 1961 года советский космонавт Ю. А. Гагарин на космическом корабле «Восток-1» стартовал с космодрома Байконур и впервые в мире совершил орбитальный полет вокруг Земли.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18 апреля</w:t>
      </w:r>
      <w:r>
        <w:t> – День победы русских воинов князя Александра Невского над немецкими рыцарями на Чудском озере (Ледовое побоище, 1242). День воинской славы России.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9 мая</w:t>
      </w:r>
      <w:r>
        <w:t> – День Победы. Праздничный день. День воинской славы России.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24 мая</w:t>
      </w:r>
      <w:r>
        <w:t> – День славянской письменности и культуры.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12 июня</w:t>
      </w:r>
      <w:r>
        <w:t> – День России.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29 июня</w:t>
      </w:r>
      <w:r>
        <w:t> – День партизан и подпольщиков.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28 июля</w:t>
      </w:r>
      <w:r>
        <w:t> – День победы русской армии под командованием Петра Первого над шведами в Полтавском сражении (1709). День воинской славы России.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10 июля</w:t>
      </w:r>
      <w:r>
        <w:t> – День Крещения Руси (988).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6 августа и 9 августа</w:t>
      </w:r>
      <w:r>
        <w:t> – Атомные бомбардировки ВВС США японских городов Хиросима и Нагасаки (1945). 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29 августа</w:t>
      </w:r>
      <w:r>
        <w:t xml:space="preserve"> – Установление ядерного паритета между США и СССР (1949).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23 августа</w:t>
      </w:r>
      <w:r>
        <w:t> – День разгрома советскими войсками немецко-фашистских войск в Курской битве (1943). День воинской славы России.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8 сентября</w:t>
      </w:r>
      <w:r>
        <w:t xml:space="preserve"> – День Бородинского сражения русской армии командованием М. И. Кутузова с французской армией (1812). День воинской славы России.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21 сентября</w:t>
      </w:r>
      <w:r>
        <w:t> – День победы русских полков во главе с великим князем Дмитрием Донским над ордынским войском в Куликовской битве (1380). День воинской славы России.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4 октября</w:t>
      </w:r>
      <w:r>
        <w:t> – Запуск первого искусственного спутника Земли. День космических войск.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20 октября</w:t>
      </w:r>
      <w:r>
        <w:t> – День рождения Российского морского флота.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4 ноября</w:t>
      </w:r>
      <w:r>
        <w:t> – День народного единства. Праздничный день. День воинской славы России.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19 ноября</w:t>
      </w:r>
      <w:r>
        <w:t> – День рождения М. В. Ломоносова.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5 декабря</w:t>
      </w:r>
      <w:r>
        <w:t> – День начала контрнаступления советских войск против немецко-фашистских войск в Битве под Москвой (1941). День воинской славы России.</w:t>
      </w:r>
    </w:p>
    <w:p w:rsidR="00C174AD" w:rsidRDefault="00C174AD" w:rsidP="00C174AD">
      <w:pPr>
        <w:pStyle w:val="a4"/>
        <w:jc w:val="both"/>
      </w:pPr>
      <w:r>
        <w:rPr>
          <w:rStyle w:val="a6"/>
        </w:rPr>
        <w:t>24 декабря</w:t>
      </w:r>
      <w:r>
        <w:t> – День взятия турецкой крепости Измаил русскими войсками под командованием А. В. Суворова (1790). День воинской славы России.</w:t>
      </w:r>
    </w:p>
    <w:p w:rsidR="00C174AD" w:rsidRDefault="00F93BC5" w:rsidP="00C174AD">
      <w:pPr>
        <w:pStyle w:val="a4"/>
      </w:pPr>
      <w:hyperlink r:id="rId8" w:history="1">
        <w:r w:rsidR="00C174AD">
          <w:rPr>
            <w:rStyle w:val="a3"/>
          </w:rPr>
          <w:t>Письмо Министерства образования и науки Российской Федерации</w:t>
        </w:r>
      </w:hyperlink>
    </w:p>
    <w:sectPr w:rsidR="00C174AD" w:rsidSect="004D431A">
      <w:pgSz w:w="11906" w:h="16838"/>
      <w:pgMar w:top="540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2F7"/>
    <w:multiLevelType w:val="multilevel"/>
    <w:tmpl w:val="BF1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2217B"/>
    <w:multiLevelType w:val="multilevel"/>
    <w:tmpl w:val="2C5C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D7763"/>
    <w:multiLevelType w:val="multilevel"/>
    <w:tmpl w:val="E708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98"/>
    <w:rsid w:val="004652E1"/>
    <w:rsid w:val="007A0598"/>
    <w:rsid w:val="00C174AD"/>
    <w:rsid w:val="00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174A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C174AD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uiPriority w:val="20"/>
    <w:qFormat/>
    <w:rsid w:val="00C174AD"/>
    <w:rPr>
      <w:i/>
      <w:iCs/>
    </w:rPr>
  </w:style>
  <w:style w:type="character" w:styleId="a6">
    <w:name w:val="Strong"/>
    <w:basedOn w:val="a0"/>
    <w:uiPriority w:val="22"/>
    <w:qFormat/>
    <w:rsid w:val="00C17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174A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C174AD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uiPriority w:val="20"/>
    <w:qFormat/>
    <w:rsid w:val="00C174AD"/>
    <w:rPr>
      <w:i/>
      <w:iCs/>
    </w:rPr>
  </w:style>
  <w:style w:type="character" w:styleId="a6">
    <w:name w:val="Strong"/>
    <w:basedOn w:val="a0"/>
    <w:uiPriority w:val="22"/>
    <w:qFormat/>
    <w:rsid w:val="00C17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projects/klassni_chas/metod_rek_Histpar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historypar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9730</Characters>
  <Application>Microsoft Office Word</Application>
  <DocSecurity>0</DocSecurity>
  <Lines>81</Lines>
  <Paragraphs>22</Paragraphs>
  <ScaleCrop>false</ScaleCrop>
  <Company>РОО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Nevzorova</cp:lastModifiedBy>
  <cp:revision>4</cp:revision>
  <dcterms:created xsi:type="dcterms:W3CDTF">2016-10-04T09:47:00Z</dcterms:created>
  <dcterms:modified xsi:type="dcterms:W3CDTF">2016-10-05T11:35:00Z</dcterms:modified>
</cp:coreProperties>
</file>